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bidi/>
        <w:spacing w:after="300" w:line="360" w:lineRule="auto"/>
        <w:jc w:val="center"/>
      </w:pPr>
      <w:r>
        <w:rPr>
          <w:rFonts w:ascii="Tahoma" w:hAnsi="Tahoma"/>
          <w:b/>
          <w:sz w:val="28"/>
          <w:rtl/>
          <w:cs w:val="Tahoma"/>
        </w:rPr>
        <w:t>بسمه تعالی</w:t>
      </w:r>
    </w:p>
    <w:p>
      <w:pPr>
        <w:bidi/>
        <w:spacing w:after="100" w:line="360" w:lineRule="auto"/>
        <w:jc w:val="right"/>
      </w:pPr>
      <w:r>
        <w:rPr>
          <w:rFonts w:ascii="Tahoma" w:hAnsi="Tahoma"/>
          <w:b/>
          <w:sz w:val="26"/>
          <w:rtl/>
          <w:cs w:val="Tahoma"/>
        </w:rPr>
        <w:t>ریاست محترم شعبه [شماره شعبه] دادگاه عمومی حقوقی شهرستان [نام شهرستان]</w:t>
      </w:r>
    </w:p>
    <w:p>
      <w:pPr>
        <w:bidi/>
        <w:spacing w:after="300" w:line="360" w:lineRule="auto"/>
        <w:jc w:val="right"/>
      </w:pPr>
      <w:r>
        <w:rPr>
          <w:rFonts w:ascii="Tahoma" w:hAnsi="Tahoma"/>
          <w:b/>
          <w:sz w:val="24"/>
          <w:rtl/>
          <w:cs w:val="Tahoma"/>
        </w:rPr>
        <w:t>موضوع: لایحه دفاعیه خوانده در پرونده کلاسه [شماره کلاسه پرونده]</w:t>
      </w:r>
    </w:p>
    <w:p>
      <w:pPr>
        <w:bidi/>
        <w:spacing w:after="200" w:line="360" w:lineRule="auto"/>
        <w:jc w:val="right"/>
      </w:pPr>
      <w:r>
        <w:rPr>
          <w:rFonts w:ascii="Tahoma" w:hAnsi="Tahoma"/>
          <w:b w:val="0"/>
          <w:sz w:val="24"/>
          <w:rtl/>
          <w:cs w:val="Tahoma"/>
        </w:rPr>
        <w:t>با سلام و تحیت،</w:t>
      </w:r>
    </w:p>
    <w:p>
      <w:pPr>
        <w:bidi/>
        <w:spacing w:after="300" w:line="360" w:lineRule="auto"/>
        <w:jc w:val="both"/>
      </w:pPr>
      <w:r>
        <w:rPr>
          <w:rFonts w:ascii="Tahoma" w:hAnsi="Tahoma"/>
          <w:b w:val="0"/>
          <w:sz w:val="24"/>
          <w:rtl/>
          <w:cs w:val="Tahoma"/>
        </w:rPr>
        <w:t>احتراماً اینجانب [نام خوانده]، خوانده دعوی در پرونده کلاسه فوق، در برابر دعوای واهی و بی‌اساس مطروحه از سوی خواهان محترم جناب آقای/خانم [نام خواهان] به خواسته «خلع ید» و «رفع تصرف عدوانی»، مراتب دفاعیات حقوقی و مستدلات قانونی خویش را جهت تنویر ذهن آن مقام محترم و رد ادعای خواهان، به شرح ذیل معروض می‌دارم:</w:t>
      </w:r>
    </w:p>
    <w:p>
      <w:pPr>
        <w:bidi/>
        <w:spacing w:after="100" w:line="360" w:lineRule="auto"/>
        <w:jc w:val="right"/>
      </w:pPr>
      <w:r>
        <w:rPr>
          <w:rFonts w:ascii="Tahoma" w:hAnsi="Tahoma"/>
          <w:b/>
          <w:sz w:val="24"/>
          <w:rtl/>
          <w:cs w:val="Tahoma"/>
        </w:rPr>
        <w:t>۱. در خصوص ادعای خلع ید و فقدان وصف غصب (عدم انطباق با ماده ۳۰۸ قانون مدنی):</w:t>
      </w:r>
    </w:p>
    <w:p>
      <w:pPr>
        <w:bidi/>
        <w:spacing w:after="300" w:line="360" w:lineRule="auto"/>
        <w:jc w:val="both"/>
      </w:pPr>
      <w:r>
        <w:rPr>
          <w:rFonts w:ascii="Tahoma" w:hAnsi="Tahoma"/>
          <w:b w:val="0"/>
          <w:sz w:val="24"/>
          <w:rtl/>
          <w:cs w:val="Tahoma"/>
        </w:rPr>
        <w:t>همان‌گونه که مستحضر هستید، دعوای خلع ید فرع بر اثبات مالکیت رسمی خواهان و احراز تصرفات غاصبانه خوانده است. مبنای تصرفات اینجانب در پلاک ثبتی مورد ترافع، نه تنها غاصبانه و من‌غیرحق نبوده، بلکه مستند به یک رابطه حقوقی صحیح و قرارداد [ذکر نوع قرارداد: مبایعه‌نامه عادی مورخ... / اجاره‌نامه / صلح‌نامه / توافق‌نامه شفاهی با اذن مالک] می‌باشد. لذا ید اینجانب بر ملک متنازع‌فیه، «ید امانی و مأذون» بوده و عنصر «اثبات ید بر مال غیر به نحو عدوان» که شرط اصلی تحقق غصب در ماده ۳۰۸ قانون مدنی است، در مانحن‌فیه مفقود می‌باشد. مضافاً اینکه طبق رأی وحدت رویه شماره ۶۷۲ دیوان عالی کشور، دعوای خلع ید صرفاً با ارائه سند رسمی مالکیت قابلیت استماع دارد و خواهان محترم فاقد چنین سندی است / یا با وجود سند، به دلیل وجود قرارداد معتبر میان ما، دعوای خلع ید وجاهت ندارد.</w:t>
      </w:r>
    </w:p>
    <w:p>
      <w:pPr>
        <w:bidi/>
        <w:spacing w:after="100" w:line="360" w:lineRule="auto"/>
        <w:jc w:val="right"/>
      </w:pPr>
      <w:r>
        <w:rPr>
          <w:rFonts w:ascii="Tahoma" w:hAnsi="Tahoma"/>
          <w:b/>
          <w:sz w:val="24"/>
          <w:rtl/>
          <w:cs w:val="Tahoma"/>
        </w:rPr>
        <w:t>۲. در خصوص ادعای رفع تصرف عدوانی (عدم انطباق با ماده ۱۵۸ قانون آیین دادرسی مدنی):</w:t>
      </w:r>
    </w:p>
    <w:p>
      <w:pPr>
        <w:bidi/>
        <w:spacing w:after="300" w:line="360" w:lineRule="auto"/>
        <w:jc w:val="both"/>
      </w:pPr>
      <w:r>
        <w:rPr>
          <w:rFonts w:ascii="Tahoma" w:hAnsi="Tahoma"/>
          <w:b w:val="0"/>
          <w:sz w:val="24"/>
          <w:rtl/>
          <w:cs w:val="Tahoma"/>
        </w:rPr>
        <w:t>خواهان محترم در دادخواست خود مدعی تصرف عدوانی از سوی اینجانب شده است. این در حالی است که وفق ماده ۱۵۸ قانون آیین دادرسی دادگاه‌های عمومی و انقلاب در امور مدنی، رکن اساسی دعوای تصرف عدوانی، اثبات «سبق تصرف خواهان» و «لحوق تصرف عدوانی خوانده» است. در پرونده حاضر، ملک موصوف با رضایت کامل و با اراده شخص خواهان (به موجب قرارداد/تحویل کلید در حضور شهود) به اینجانب تسلیم گردیده است. بنابراین قید «عدوان» (زور و غلبه و بدون رضایت) کاملاً منتفی است و خروج ملک از ید خواهان، با طیب خاطر و در مقام ایفای تعهدات قراردادی بوده است. دعوای تصرف عدوانی در جایی مصداق دارد که خوانده رأساً و بدون اذن، ملک را به تصرف درآورد، نه در فرضی که ملک قانوناً به وی تحویل داده شده باشد.</w:t>
      </w:r>
    </w:p>
    <w:p>
      <w:pPr>
        <w:bidi/>
        <w:spacing w:after="100" w:line="360" w:lineRule="auto"/>
        <w:jc w:val="right"/>
      </w:pPr>
      <w:r>
        <w:rPr>
          <w:rFonts w:ascii="Tahoma" w:hAnsi="Tahoma"/>
          <w:b/>
          <w:sz w:val="24"/>
          <w:rtl/>
          <w:cs w:val="Tahoma"/>
        </w:rPr>
        <w:t>۳. ایراد شکلی به جمع دو خواسته متناقض در یک دادخواست:</w:t>
      </w:r>
    </w:p>
    <w:p>
      <w:pPr>
        <w:bidi/>
        <w:spacing w:after="300" w:line="360" w:lineRule="auto"/>
        <w:jc w:val="both"/>
      </w:pPr>
      <w:r>
        <w:rPr>
          <w:rFonts w:ascii="Tahoma" w:hAnsi="Tahoma"/>
          <w:b w:val="0"/>
          <w:sz w:val="24"/>
          <w:rtl/>
          <w:cs w:val="Tahoma"/>
        </w:rPr>
        <w:t>از منظر قواعد شکلی، طرح هم‌زمان دو خواسته «خلع ید» و «رفع تصرف عدوانی» در یک دادخواست، واجد تهافت و تناقض حقوقی است؛ چرا که دعوای خلع ید مبتنی بر اثبات مالکیت است، در حالی که دعوای تصرف عدوانی صرفاً بر پایه حمایت از تصرفات قبلی (بدون ورود به ماهیت مالکیت) استوار است و جمع این دو منشاء در یک دعوا فاقد وجاهت قانونی و رویه قضایی است.</w:t>
      </w:r>
    </w:p>
    <w:p>
      <w:pPr>
        <w:bidi/>
        <w:spacing w:after="100" w:line="360" w:lineRule="auto"/>
        <w:jc w:val="right"/>
      </w:pPr>
      <w:r>
        <w:rPr>
          <w:rFonts w:ascii="Tahoma" w:hAnsi="Tahoma"/>
          <w:b/>
          <w:sz w:val="24"/>
          <w:rtl/>
          <w:cs w:val="Tahoma"/>
        </w:rPr>
        <w:t>نتیجه‌گیری و استدعای صدور رأی:</w:t>
      </w:r>
    </w:p>
    <w:p>
      <w:pPr>
        <w:bidi/>
        <w:spacing w:after="600" w:line="360" w:lineRule="auto"/>
        <w:jc w:val="both"/>
      </w:pPr>
      <w:r>
        <w:rPr>
          <w:rFonts w:ascii="Tahoma" w:hAnsi="Tahoma"/>
          <w:b w:val="0"/>
          <w:sz w:val="24"/>
          <w:rtl/>
          <w:cs w:val="Tahoma"/>
        </w:rPr>
        <w:t>علی‌هذا، با عنایت به مراتب معروضه و نظر به اینکه تصرفات اینجانب مستند به حق و فاقد هرگونه وصف عدوان و غصب می‌باشد و ادله ابرازی شامل [کپی مصدق قرارداد / استشهادیه محلی / فیش‌های واریزی وجه قرارداد] مؤید این ادعاست، تقاضای رسیدگی دقیق، رد ادعاهای واهی خواهان و نهایتاً صدور حکم بر بطلان دعوی خواهان (یا قرار رد دعوی) مورد استدعا می‌باشد.</w:t>
      </w:r>
    </w:p>
    <w:p>
      <w:pPr>
        <w:bidi/>
        <w:spacing w:after="100" w:line="360" w:lineRule="auto"/>
        <w:jc w:val="left"/>
      </w:pPr>
      <w:r>
        <w:rPr>
          <w:rFonts w:ascii="Tahoma" w:hAnsi="Tahoma"/>
          <w:b/>
          <w:sz w:val="24"/>
          <w:rtl/>
          <w:cs w:val="Tahoma"/>
        </w:rPr>
        <w:t>با تجدید احترام</w:t>
      </w:r>
    </w:p>
    <w:p>
      <w:pPr>
        <w:bidi/>
        <w:spacing w:after="200" w:line="360" w:lineRule="auto"/>
        <w:jc w:val="left"/>
      </w:pPr>
      <w:r>
        <w:rPr>
          <w:rFonts w:ascii="Tahoma" w:hAnsi="Tahoma"/>
          <w:b/>
          <w:sz w:val="24"/>
          <w:rtl/>
          <w:cs w:val="Tahoma"/>
        </w:rPr>
        <w:t>نام و امضای خوانده</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ahoma" w:hAnsi="Tahoma"/>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